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779" w:rsidRDefault="00886779" w:rsidP="00886779">
      <w:pPr>
        <w:spacing w:line="640" w:lineRule="exact"/>
        <w:jc w:val="center"/>
        <w:rPr>
          <w:rFonts w:ascii="华文中宋" w:eastAsia="华文中宋" w:hAnsi="华文中宋" w:cs="华文中宋" w:hint="eastAsia"/>
          <w:sz w:val="36"/>
          <w:szCs w:val="36"/>
        </w:rPr>
      </w:pPr>
    </w:p>
    <w:p w:rsidR="00886779" w:rsidRDefault="00886779" w:rsidP="00886779">
      <w:pPr>
        <w:spacing w:line="640" w:lineRule="exact"/>
        <w:jc w:val="center"/>
        <w:rPr>
          <w:rFonts w:ascii="华文中宋" w:eastAsia="华文中宋" w:hAnsi="华文中宋" w:cs="华文中宋" w:hint="eastAsia"/>
          <w:sz w:val="36"/>
          <w:szCs w:val="36"/>
        </w:rPr>
      </w:pPr>
    </w:p>
    <w:p w:rsidR="00886779" w:rsidRDefault="00886779" w:rsidP="00886779">
      <w:pPr>
        <w:spacing w:line="640" w:lineRule="exact"/>
        <w:jc w:val="center"/>
        <w:rPr>
          <w:rFonts w:ascii="华文中宋" w:eastAsia="华文中宋" w:hAnsi="华文中宋" w:cs="华文中宋"/>
          <w:sz w:val="36"/>
          <w:szCs w:val="36"/>
        </w:rPr>
      </w:pPr>
      <w:r>
        <w:rPr>
          <w:rFonts w:ascii="华文中宋" w:eastAsia="华文中宋" w:hAnsi="华文中宋" w:cs="华文中宋" w:hint="eastAsia"/>
          <w:sz w:val="36"/>
          <w:szCs w:val="36"/>
        </w:rPr>
        <w:t>中华人民共和国农业农村部公告</w:t>
      </w:r>
    </w:p>
    <w:p w:rsidR="00886779" w:rsidRDefault="00886779" w:rsidP="00886779">
      <w:pPr>
        <w:spacing w:line="640" w:lineRule="exact"/>
        <w:jc w:val="center"/>
        <w:rPr>
          <w:rFonts w:ascii="华文中宋" w:eastAsia="华文中宋" w:hAnsi="华文中宋" w:cs="华文中宋" w:hint="eastAsia"/>
          <w:sz w:val="36"/>
          <w:szCs w:val="36"/>
        </w:rPr>
      </w:pPr>
      <w:r>
        <w:rPr>
          <w:rFonts w:ascii="华文中宋" w:eastAsia="华文中宋" w:hAnsi="华文中宋" w:cs="华文中宋" w:hint="eastAsia"/>
          <w:sz w:val="36"/>
          <w:szCs w:val="36"/>
        </w:rPr>
        <w:t>第542号</w:t>
      </w:r>
    </w:p>
    <w:p w:rsidR="00886779" w:rsidRDefault="00886779" w:rsidP="00886779">
      <w:pPr>
        <w:spacing w:line="640" w:lineRule="exact"/>
        <w:rPr>
          <w:rFonts w:hint="eastAsia"/>
          <w:sz w:val="32"/>
          <w:szCs w:val="32"/>
        </w:rPr>
      </w:pPr>
    </w:p>
    <w:p w:rsidR="00886779" w:rsidRDefault="00886779" w:rsidP="008867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农药管理条例》《农药登记管理办法》《农药登记试验管理办法》《农药登记资料要求》等有关规定，为规范转基因耐除草剂作物用目标除草剂登记管理，保障农药的安全性和有效性，我部组织制定了《转基因耐除草剂作物用目标除草剂登记资料要求》，现予以公布，自印发之日起施行。之前印发的有关转基因耐除草剂作物用除草剂登记资料要求废止。</w:t>
      </w:r>
    </w:p>
    <w:p w:rsidR="00886779" w:rsidRDefault="00886779" w:rsidP="0088677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特此公告。</w:t>
      </w:r>
    </w:p>
    <w:p w:rsidR="00886779" w:rsidRDefault="00886779" w:rsidP="00886779">
      <w:pPr>
        <w:spacing w:line="600" w:lineRule="exact"/>
        <w:ind w:firstLineChars="200" w:firstLine="640"/>
        <w:rPr>
          <w:rFonts w:ascii="仿宋_GB2312" w:eastAsia="仿宋_GB2312" w:hAnsi="仿宋_GB2312" w:cs="仿宋_GB2312" w:hint="eastAsia"/>
          <w:sz w:val="32"/>
          <w:szCs w:val="32"/>
        </w:rPr>
      </w:pPr>
    </w:p>
    <w:p w:rsidR="00886779" w:rsidRDefault="00886779" w:rsidP="0088677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附件：转基因耐除草剂作物用目标除草剂登记资料要求</w:t>
      </w:r>
    </w:p>
    <w:p w:rsidR="00886779" w:rsidRDefault="00886779" w:rsidP="0088677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886779" w:rsidRDefault="00886779" w:rsidP="00886779">
      <w:pPr>
        <w:spacing w:line="600" w:lineRule="exact"/>
        <w:ind w:firstLineChars="200" w:firstLine="640"/>
        <w:rPr>
          <w:rFonts w:ascii="仿宋_GB2312" w:eastAsia="仿宋_GB2312" w:hAnsi="仿宋_GB2312" w:cs="仿宋_GB2312" w:hint="eastAsia"/>
          <w:sz w:val="32"/>
          <w:szCs w:val="32"/>
        </w:rPr>
      </w:pPr>
    </w:p>
    <w:p w:rsidR="00886779" w:rsidRDefault="00886779" w:rsidP="0088677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农业农村部</w:t>
      </w:r>
    </w:p>
    <w:p w:rsidR="00886779" w:rsidRDefault="00886779" w:rsidP="00886779">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2022年3月25日</w:t>
      </w:r>
    </w:p>
    <w:p w:rsidR="00886779" w:rsidRDefault="00886779" w:rsidP="00886779">
      <w:pPr>
        <w:spacing w:line="600" w:lineRule="exact"/>
        <w:ind w:firstLineChars="200" w:firstLine="640"/>
        <w:rPr>
          <w:rFonts w:ascii="仿宋_GB2312" w:eastAsia="仿宋_GB2312" w:hAnsi="仿宋_GB2312" w:cs="仿宋_GB2312" w:hint="eastAsia"/>
          <w:sz w:val="32"/>
          <w:szCs w:val="32"/>
        </w:rPr>
      </w:pPr>
    </w:p>
    <w:p w:rsidR="00886779" w:rsidRDefault="00886779" w:rsidP="00886779">
      <w:pPr>
        <w:spacing w:line="600" w:lineRule="exact"/>
        <w:ind w:firstLineChars="200" w:firstLine="640"/>
        <w:rPr>
          <w:rFonts w:ascii="仿宋_GB2312" w:eastAsia="仿宋_GB2312" w:hAnsi="仿宋_GB2312" w:cs="仿宋_GB2312" w:hint="eastAsia"/>
          <w:sz w:val="32"/>
          <w:szCs w:val="32"/>
        </w:rPr>
      </w:pPr>
    </w:p>
    <w:p w:rsidR="00886779" w:rsidRDefault="00886779" w:rsidP="00886779">
      <w:pPr>
        <w:spacing w:line="600" w:lineRule="exact"/>
        <w:ind w:firstLineChars="200" w:firstLine="640"/>
        <w:rPr>
          <w:rFonts w:ascii="仿宋_GB2312" w:eastAsia="仿宋_GB2312" w:hAnsi="仿宋_GB2312" w:cs="仿宋_GB2312" w:hint="eastAsia"/>
          <w:sz w:val="32"/>
          <w:szCs w:val="32"/>
        </w:rPr>
      </w:pPr>
    </w:p>
    <w:p w:rsidR="00886779" w:rsidRDefault="00886779" w:rsidP="00886779">
      <w:pPr>
        <w:spacing w:line="600" w:lineRule="exact"/>
        <w:ind w:firstLineChars="200" w:firstLine="640"/>
        <w:rPr>
          <w:rFonts w:ascii="仿宋_GB2312" w:eastAsia="仿宋_GB2312" w:hAnsi="仿宋_GB2312" w:cs="仿宋_GB2312" w:hint="eastAsia"/>
          <w:sz w:val="32"/>
          <w:szCs w:val="32"/>
        </w:rPr>
      </w:pPr>
    </w:p>
    <w:p w:rsidR="00886779" w:rsidRDefault="00886779" w:rsidP="00886779">
      <w:pPr>
        <w:spacing w:line="600" w:lineRule="exact"/>
        <w:ind w:firstLineChars="200" w:firstLine="640"/>
        <w:rPr>
          <w:rFonts w:ascii="仿宋_GB2312" w:eastAsia="仿宋_GB2312" w:hAnsi="仿宋_GB2312" w:cs="仿宋_GB2312" w:hint="eastAsia"/>
          <w:sz w:val="32"/>
          <w:szCs w:val="32"/>
        </w:rPr>
      </w:pPr>
    </w:p>
    <w:p w:rsidR="00886779" w:rsidRDefault="00886779" w:rsidP="00886779">
      <w:pPr>
        <w:rPr>
          <w:rFonts w:ascii="黑体" w:eastAsia="黑体" w:hAnsi="黑体" w:cs="黑体" w:hint="eastAsia"/>
          <w:sz w:val="32"/>
          <w:szCs w:val="32"/>
        </w:rPr>
      </w:pPr>
      <w:r>
        <w:rPr>
          <w:rFonts w:ascii="黑体" w:eastAsia="黑体" w:hAnsi="黑体" w:cs="黑体" w:hint="eastAsia"/>
          <w:sz w:val="32"/>
          <w:szCs w:val="32"/>
        </w:rPr>
        <w:t>附件</w:t>
      </w:r>
    </w:p>
    <w:p w:rsidR="00886779" w:rsidRDefault="00886779" w:rsidP="00886779">
      <w:pPr>
        <w:jc w:val="center"/>
        <w:rPr>
          <w:rFonts w:ascii="华文中宋" w:eastAsia="华文中宋" w:hAnsi="华文中宋" w:cs="华文中宋" w:hint="eastAsia"/>
          <w:sz w:val="36"/>
          <w:szCs w:val="36"/>
        </w:rPr>
      </w:pPr>
      <w:r>
        <w:rPr>
          <w:rFonts w:ascii="华文中宋" w:eastAsia="华文中宋" w:hAnsi="华文中宋" w:cs="华文中宋" w:hint="eastAsia"/>
          <w:sz w:val="36"/>
          <w:szCs w:val="36"/>
        </w:rPr>
        <w:t>转基因耐除草剂作物用目标除草剂登记资料要求</w:t>
      </w:r>
    </w:p>
    <w:p w:rsidR="00886779" w:rsidRDefault="00886779" w:rsidP="00886779">
      <w:pPr>
        <w:spacing w:line="640" w:lineRule="exact"/>
        <w:ind w:firstLineChars="200" w:firstLine="640"/>
        <w:rPr>
          <w:rFonts w:ascii="仿宋" w:eastAsia="仿宋" w:hAnsi="仿宋" w:hint="eastAsia"/>
          <w:sz w:val="32"/>
          <w:szCs w:val="32"/>
        </w:rPr>
      </w:pPr>
    </w:p>
    <w:p w:rsidR="00886779" w:rsidRDefault="00886779" w:rsidP="00886779">
      <w:pPr>
        <w:spacing w:line="630" w:lineRule="exact"/>
        <w:ind w:firstLineChars="200" w:firstLine="640"/>
        <w:rPr>
          <w:rFonts w:ascii="仿宋" w:eastAsia="仿宋" w:hAnsi="仿宋" w:hint="eastAsia"/>
          <w:sz w:val="32"/>
          <w:szCs w:val="32"/>
        </w:rPr>
      </w:pPr>
      <w:r>
        <w:rPr>
          <w:rFonts w:ascii="仿宋" w:eastAsia="仿宋" w:hAnsi="仿宋" w:hint="eastAsia"/>
          <w:sz w:val="32"/>
          <w:szCs w:val="32"/>
        </w:rPr>
        <w:t>为规范转基因耐除草剂作物用目标除草剂登记，根据《农药登记资料要求》（农业部公告第2569号）制定本要求。</w:t>
      </w:r>
    </w:p>
    <w:p w:rsidR="00886779" w:rsidRDefault="00886779" w:rsidP="00886779">
      <w:pPr>
        <w:spacing w:line="630" w:lineRule="exact"/>
        <w:ind w:firstLineChars="200" w:firstLine="640"/>
        <w:rPr>
          <w:rFonts w:ascii="黑体" w:eastAsia="黑体" w:hAnsi="黑体" w:hint="eastAsia"/>
          <w:sz w:val="32"/>
          <w:szCs w:val="32"/>
        </w:rPr>
      </w:pPr>
      <w:r>
        <w:rPr>
          <w:rFonts w:ascii="黑体" w:eastAsia="黑体" w:hAnsi="黑体" w:hint="eastAsia"/>
          <w:sz w:val="32"/>
          <w:szCs w:val="32"/>
        </w:rPr>
        <w:t>一、范围</w:t>
      </w:r>
    </w:p>
    <w:p w:rsidR="00886779" w:rsidRDefault="00886779" w:rsidP="00886779">
      <w:pPr>
        <w:spacing w:line="630" w:lineRule="exact"/>
        <w:ind w:firstLineChars="200" w:firstLine="640"/>
        <w:rPr>
          <w:rFonts w:ascii="仿宋" w:eastAsia="仿宋" w:hAnsi="仿宋" w:hint="eastAsia"/>
          <w:sz w:val="32"/>
          <w:szCs w:val="32"/>
        </w:rPr>
      </w:pPr>
      <w:r>
        <w:rPr>
          <w:rFonts w:ascii="仿宋" w:eastAsia="仿宋" w:hAnsi="仿宋" w:hint="eastAsia"/>
          <w:sz w:val="32"/>
          <w:szCs w:val="32"/>
        </w:rPr>
        <w:t>本要求适用于已登记除草剂单制剂产品（耐除草剂作物用目标除草剂）申请转基因耐除草剂作物使用登记。</w:t>
      </w:r>
    </w:p>
    <w:p w:rsidR="00886779" w:rsidRDefault="00886779" w:rsidP="00886779">
      <w:pPr>
        <w:spacing w:line="630" w:lineRule="exact"/>
        <w:ind w:firstLineChars="200" w:firstLine="640"/>
        <w:rPr>
          <w:rFonts w:ascii="黑体" w:eastAsia="黑体" w:hAnsi="黑体" w:hint="eastAsia"/>
          <w:sz w:val="32"/>
          <w:szCs w:val="32"/>
        </w:rPr>
      </w:pPr>
      <w:r>
        <w:rPr>
          <w:rFonts w:ascii="黑体" w:eastAsia="黑体" w:hAnsi="黑体" w:hint="eastAsia"/>
          <w:sz w:val="32"/>
          <w:szCs w:val="32"/>
        </w:rPr>
        <w:t>二、资料要求</w:t>
      </w:r>
    </w:p>
    <w:p w:rsidR="00886779" w:rsidRDefault="00886779" w:rsidP="00886779">
      <w:pPr>
        <w:spacing w:line="630" w:lineRule="exact"/>
        <w:ind w:firstLineChars="200" w:firstLine="640"/>
        <w:rPr>
          <w:rFonts w:ascii="楷体" w:eastAsia="楷体" w:hAnsi="楷体" w:hint="eastAsia"/>
          <w:b/>
          <w:sz w:val="32"/>
          <w:szCs w:val="32"/>
        </w:rPr>
      </w:pPr>
      <w:r>
        <w:rPr>
          <w:rFonts w:ascii="仿宋" w:eastAsia="仿宋" w:hAnsi="仿宋" w:hint="eastAsia"/>
          <w:sz w:val="32"/>
          <w:szCs w:val="32"/>
        </w:rPr>
        <w:t>转基因耐除草剂作物目标除草剂扩大使用范围登记除应符合《农药登记资料要求》外，还应符合下列要求。</w:t>
      </w:r>
    </w:p>
    <w:p w:rsidR="00886779" w:rsidRDefault="00886779" w:rsidP="00886779">
      <w:pPr>
        <w:spacing w:line="630" w:lineRule="exact"/>
        <w:ind w:firstLineChars="200" w:firstLine="643"/>
        <w:rPr>
          <w:rFonts w:ascii="楷体" w:eastAsia="楷体" w:hAnsi="楷体" w:hint="eastAsia"/>
          <w:b/>
          <w:sz w:val="32"/>
          <w:szCs w:val="32"/>
        </w:rPr>
      </w:pPr>
      <w:r>
        <w:rPr>
          <w:rFonts w:ascii="楷体" w:eastAsia="楷体" w:hAnsi="楷体" w:hint="eastAsia"/>
          <w:b/>
          <w:sz w:val="32"/>
          <w:szCs w:val="32"/>
        </w:rPr>
        <w:t>1.产品化学</w:t>
      </w:r>
    </w:p>
    <w:p w:rsidR="00886779" w:rsidRDefault="00886779" w:rsidP="00886779">
      <w:pPr>
        <w:spacing w:line="630" w:lineRule="exact"/>
        <w:ind w:firstLineChars="200" w:firstLine="640"/>
        <w:rPr>
          <w:rFonts w:ascii="仿宋" w:eastAsia="仿宋" w:hAnsi="仿宋" w:hint="eastAsia"/>
          <w:sz w:val="32"/>
          <w:szCs w:val="32"/>
        </w:rPr>
      </w:pPr>
      <w:r>
        <w:rPr>
          <w:rFonts w:ascii="仿宋" w:eastAsia="仿宋" w:hAnsi="仿宋" w:hint="eastAsia"/>
          <w:sz w:val="32"/>
          <w:szCs w:val="32"/>
        </w:rPr>
        <w:t>1.1 符合《农药登记资料要求》3.1.1产品化学资料。</w:t>
      </w:r>
    </w:p>
    <w:p w:rsidR="00886779" w:rsidRDefault="00886779" w:rsidP="00886779">
      <w:pPr>
        <w:spacing w:line="630" w:lineRule="exact"/>
        <w:ind w:firstLineChars="200" w:firstLine="640"/>
        <w:rPr>
          <w:rFonts w:ascii="楷体" w:eastAsia="楷体" w:hAnsi="楷体" w:hint="eastAsia"/>
          <w:b/>
          <w:sz w:val="32"/>
          <w:szCs w:val="32"/>
        </w:rPr>
      </w:pPr>
      <w:r>
        <w:rPr>
          <w:rFonts w:ascii="仿宋" w:eastAsia="仿宋" w:hAnsi="仿宋" w:hint="eastAsia"/>
          <w:sz w:val="32"/>
          <w:szCs w:val="32"/>
        </w:rPr>
        <w:t>1.2 制剂产品组成。</w:t>
      </w:r>
    </w:p>
    <w:p w:rsidR="00886779" w:rsidRDefault="00886779" w:rsidP="00886779">
      <w:pPr>
        <w:spacing w:line="630" w:lineRule="exact"/>
        <w:ind w:firstLine="636"/>
        <w:rPr>
          <w:rFonts w:ascii="仿宋" w:eastAsia="仿宋" w:hAnsi="仿宋" w:hint="eastAsia"/>
          <w:sz w:val="32"/>
          <w:szCs w:val="32"/>
        </w:rPr>
      </w:pPr>
      <w:r>
        <w:rPr>
          <w:rFonts w:ascii="楷体" w:eastAsia="楷体" w:hAnsi="楷体" w:hint="eastAsia"/>
          <w:b/>
          <w:sz w:val="32"/>
          <w:szCs w:val="32"/>
        </w:rPr>
        <w:t>2.药效</w:t>
      </w:r>
    </w:p>
    <w:p w:rsidR="00886779" w:rsidRDefault="00886779" w:rsidP="00886779">
      <w:pPr>
        <w:spacing w:line="630" w:lineRule="exact"/>
        <w:ind w:firstLine="636"/>
        <w:rPr>
          <w:rFonts w:ascii="仿宋" w:eastAsia="仿宋" w:hAnsi="仿宋" w:hint="eastAsia"/>
          <w:sz w:val="32"/>
          <w:szCs w:val="32"/>
        </w:rPr>
      </w:pPr>
      <w:r>
        <w:rPr>
          <w:rFonts w:ascii="仿宋" w:eastAsia="仿宋" w:hAnsi="仿宋" w:hint="eastAsia"/>
          <w:sz w:val="32"/>
          <w:szCs w:val="32"/>
        </w:rPr>
        <w:t>2.1效益分析。申请登记转基因耐除草剂作物及靶标生物概况、可替代性分析及效益分析报告。</w:t>
      </w:r>
    </w:p>
    <w:p w:rsidR="00886779" w:rsidRDefault="00886779" w:rsidP="00886779">
      <w:pPr>
        <w:spacing w:line="630" w:lineRule="exact"/>
        <w:ind w:firstLine="636"/>
        <w:rPr>
          <w:rFonts w:ascii="仿宋" w:eastAsia="仿宋" w:hAnsi="仿宋" w:hint="eastAsia"/>
          <w:sz w:val="32"/>
          <w:szCs w:val="32"/>
        </w:rPr>
      </w:pPr>
      <w:r>
        <w:rPr>
          <w:rFonts w:ascii="仿宋" w:eastAsia="仿宋" w:hAnsi="仿宋" w:hint="eastAsia"/>
          <w:sz w:val="32"/>
          <w:szCs w:val="32"/>
        </w:rPr>
        <w:t>2.2室内作物安全性试验报告（对涉及含新转化体的作物）。至少包括3个不同品种（系）。</w:t>
      </w:r>
    </w:p>
    <w:p w:rsidR="00886779" w:rsidRDefault="00886779" w:rsidP="00886779">
      <w:pPr>
        <w:spacing w:line="630" w:lineRule="exact"/>
        <w:ind w:firstLineChars="200" w:firstLine="643"/>
        <w:rPr>
          <w:rFonts w:ascii="楷体" w:eastAsia="楷体" w:hAnsi="楷体" w:hint="eastAsia"/>
          <w:b/>
          <w:sz w:val="32"/>
          <w:szCs w:val="32"/>
        </w:rPr>
      </w:pPr>
      <w:r>
        <w:rPr>
          <w:rFonts w:ascii="楷体" w:eastAsia="楷体" w:hAnsi="楷体" w:hint="eastAsia"/>
          <w:b/>
          <w:sz w:val="32"/>
          <w:szCs w:val="32"/>
        </w:rPr>
        <w:t>3.残留</w:t>
      </w:r>
    </w:p>
    <w:p w:rsidR="00886779" w:rsidRDefault="00886779" w:rsidP="00886779">
      <w:pPr>
        <w:spacing w:line="64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3.1 植物代谢试验资料。提交该作物中的植物代谢试验。</w:t>
      </w:r>
    </w:p>
    <w:p w:rsidR="00886779" w:rsidRDefault="00886779" w:rsidP="00886779">
      <w:pPr>
        <w:spacing w:line="640" w:lineRule="exact"/>
        <w:ind w:firstLineChars="200" w:firstLine="640"/>
        <w:rPr>
          <w:rFonts w:ascii="仿宋" w:eastAsia="仿宋" w:hAnsi="仿宋" w:hint="eastAsia"/>
          <w:sz w:val="32"/>
          <w:szCs w:val="32"/>
        </w:rPr>
      </w:pPr>
      <w:r>
        <w:rPr>
          <w:rFonts w:ascii="仿宋" w:eastAsia="仿宋" w:hAnsi="仿宋" w:hint="eastAsia"/>
          <w:sz w:val="32"/>
          <w:szCs w:val="32"/>
        </w:rPr>
        <w:t>3.2动物代谢试验资料。与非转基因作物比较，如果转基因饲料作物或作物的饲用部位中出现新的主要代谢产物，应提交动物代谢试验资料。如果能够证明农药不会被用于涉及饲料的作物，不需要提交动物代谢试验资料。</w:t>
      </w:r>
    </w:p>
    <w:p w:rsidR="00886779" w:rsidRDefault="00886779" w:rsidP="00886779">
      <w:pPr>
        <w:spacing w:line="640" w:lineRule="exact"/>
        <w:ind w:firstLineChars="200" w:firstLine="640"/>
        <w:rPr>
          <w:rFonts w:ascii="仿宋" w:eastAsia="仿宋" w:hAnsi="仿宋" w:hint="eastAsia"/>
          <w:sz w:val="32"/>
          <w:szCs w:val="32"/>
        </w:rPr>
      </w:pPr>
      <w:r>
        <w:rPr>
          <w:rFonts w:ascii="仿宋" w:eastAsia="仿宋" w:hAnsi="仿宋" w:hint="eastAsia"/>
          <w:sz w:val="32"/>
          <w:szCs w:val="32"/>
        </w:rPr>
        <w:t>3.3农药残留储藏稳定性试验和加工农产品中农药残留试验资料。可提交查询资料，也可使用非转基因作物的查询资料。</w:t>
      </w:r>
    </w:p>
    <w:p w:rsidR="00886779" w:rsidRDefault="00886779" w:rsidP="00886779">
      <w:pPr>
        <w:spacing w:line="640" w:lineRule="exact"/>
        <w:ind w:firstLineChars="200" w:firstLine="643"/>
        <w:rPr>
          <w:rFonts w:ascii="楷体" w:eastAsia="楷体" w:hAnsi="楷体" w:hint="eastAsia"/>
          <w:b/>
          <w:sz w:val="32"/>
          <w:szCs w:val="32"/>
        </w:rPr>
      </w:pPr>
      <w:r>
        <w:rPr>
          <w:rFonts w:ascii="楷体" w:eastAsia="楷体" w:hAnsi="楷体" w:hint="eastAsia"/>
          <w:b/>
          <w:sz w:val="32"/>
          <w:szCs w:val="32"/>
        </w:rPr>
        <w:t>4.环境影响</w:t>
      </w:r>
    </w:p>
    <w:p w:rsidR="00886779" w:rsidRDefault="00886779" w:rsidP="00886779">
      <w:pPr>
        <w:snapToGrid w:val="0"/>
        <w:spacing w:line="640" w:lineRule="exact"/>
        <w:ind w:firstLineChars="200" w:firstLine="640"/>
        <w:rPr>
          <w:rFonts w:ascii="仿宋" w:eastAsia="仿宋" w:hAnsi="仿宋" w:hint="eastAsia"/>
          <w:sz w:val="32"/>
          <w:szCs w:val="32"/>
        </w:rPr>
      </w:pPr>
      <w:bookmarkStart w:id="0" w:name="_Hlk94254597"/>
      <w:r>
        <w:rPr>
          <w:rFonts w:ascii="仿宋" w:eastAsia="仿宋" w:hAnsi="仿宋" w:hint="eastAsia"/>
          <w:sz w:val="32"/>
          <w:szCs w:val="32"/>
        </w:rPr>
        <w:t>按《农药登记资料要求》</w:t>
      </w:r>
      <w:bookmarkEnd w:id="0"/>
      <w:r>
        <w:rPr>
          <w:rFonts w:ascii="仿宋" w:eastAsia="仿宋" w:hAnsi="仿宋" w:hint="eastAsia"/>
          <w:sz w:val="32"/>
          <w:szCs w:val="32"/>
        </w:rPr>
        <w:t>补充环境影响资料。</w:t>
      </w:r>
    </w:p>
    <w:p w:rsidR="00886779" w:rsidRDefault="00886779" w:rsidP="00886779">
      <w:pPr>
        <w:snapToGrid w:val="0"/>
        <w:spacing w:line="640" w:lineRule="exact"/>
        <w:ind w:firstLineChars="200" w:firstLine="640"/>
        <w:rPr>
          <w:rFonts w:ascii="黑体" w:eastAsia="黑体" w:hAnsi="黑体" w:hint="eastAsia"/>
          <w:sz w:val="32"/>
          <w:szCs w:val="32"/>
        </w:rPr>
      </w:pPr>
      <w:r>
        <w:rPr>
          <w:rFonts w:ascii="黑体" w:eastAsia="黑体" w:hAnsi="黑体" w:hint="eastAsia"/>
          <w:sz w:val="32"/>
          <w:szCs w:val="32"/>
        </w:rPr>
        <w:t>三、一般要求</w:t>
      </w:r>
    </w:p>
    <w:p w:rsidR="00886779" w:rsidRDefault="00886779" w:rsidP="00886779">
      <w:pPr>
        <w:snapToGrid w:val="0"/>
        <w:spacing w:line="640" w:lineRule="exact"/>
        <w:ind w:firstLineChars="200" w:firstLine="643"/>
        <w:rPr>
          <w:rFonts w:ascii="仿宋" w:eastAsia="仿宋" w:hAnsi="仿宋" w:hint="eastAsia"/>
          <w:sz w:val="32"/>
          <w:szCs w:val="32"/>
        </w:rPr>
      </w:pPr>
      <w:r>
        <w:rPr>
          <w:rFonts w:ascii="楷体" w:eastAsia="楷体" w:hAnsi="楷体" w:hint="eastAsia"/>
          <w:b/>
          <w:sz w:val="32"/>
          <w:szCs w:val="32"/>
        </w:rPr>
        <w:t>（一）登记主体。</w:t>
      </w:r>
      <w:r>
        <w:rPr>
          <w:rFonts w:ascii="仿宋" w:eastAsia="仿宋" w:hAnsi="仿宋" w:hint="eastAsia"/>
          <w:sz w:val="32"/>
          <w:szCs w:val="32"/>
        </w:rPr>
        <w:t>根据《农药管理条例》，转基因耐除草剂作物用目标除草剂登记主体为农药生产企业和向中国出口农药的企业。</w:t>
      </w:r>
    </w:p>
    <w:p w:rsidR="00886779" w:rsidRDefault="00886779" w:rsidP="00886779">
      <w:pPr>
        <w:snapToGrid w:val="0"/>
        <w:spacing w:line="640" w:lineRule="exact"/>
        <w:ind w:firstLineChars="200" w:firstLine="643"/>
        <w:rPr>
          <w:rFonts w:ascii="仿宋" w:eastAsia="仿宋" w:hAnsi="仿宋" w:hint="eastAsia"/>
          <w:sz w:val="32"/>
          <w:szCs w:val="32"/>
        </w:rPr>
      </w:pPr>
      <w:r>
        <w:rPr>
          <w:rFonts w:ascii="楷体" w:eastAsia="楷体" w:hAnsi="楷体" w:hint="eastAsia"/>
          <w:b/>
          <w:sz w:val="32"/>
          <w:szCs w:val="32"/>
        </w:rPr>
        <w:t>（二）登记作物。</w:t>
      </w:r>
      <w:r>
        <w:rPr>
          <w:rFonts w:ascii="仿宋" w:eastAsia="仿宋" w:hAnsi="仿宋" w:hint="eastAsia"/>
          <w:sz w:val="32"/>
          <w:szCs w:val="32"/>
        </w:rPr>
        <w:t>开展登记试验的转基因耐除草剂作物应取得“农业转基因生物安全证书（生产应用）”。登记转基因耐除草剂作物应包含转化体信息，如“含××转化体耐××（目标除草剂）的玉米田”。</w:t>
      </w:r>
    </w:p>
    <w:p w:rsidR="00886779" w:rsidRDefault="00886779" w:rsidP="00886779">
      <w:pPr>
        <w:spacing w:line="640" w:lineRule="exact"/>
        <w:ind w:firstLineChars="200" w:firstLine="643"/>
        <w:jc w:val="left"/>
        <w:rPr>
          <w:rFonts w:ascii="仿宋" w:eastAsia="仿宋" w:hAnsi="仿宋" w:hint="eastAsia"/>
          <w:sz w:val="32"/>
          <w:szCs w:val="32"/>
        </w:rPr>
      </w:pPr>
      <w:r>
        <w:rPr>
          <w:rFonts w:ascii="楷体" w:eastAsia="楷体" w:hAnsi="楷体" w:hint="eastAsia"/>
          <w:b/>
          <w:sz w:val="32"/>
          <w:szCs w:val="32"/>
        </w:rPr>
        <w:t>（三）试验地点。</w:t>
      </w:r>
      <w:r>
        <w:rPr>
          <w:rFonts w:ascii="仿宋" w:eastAsia="仿宋" w:hAnsi="仿宋" w:hint="eastAsia"/>
          <w:sz w:val="32"/>
          <w:szCs w:val="32"/>
        </w:rPr>
        <w:t>根据《农药登记田间药效试验区域指南》《农药登记残留试验区域指南》，及“农业转基因生物安全证书（生产应用）”限定的种植区域，选择田间药效和残</w:t>
      </w:r>
      <w:r>
        <w:rPr>
          <w:rFonts w:ascii="仿宋" w:eastAsia="仿宋" w:hAnsi="仿宋" w:hint="eastAsia"/>
          <w:sz w:val="32"/>
          <w:szCs w:val="32"/>
        </w:rPr>
        <w:lastRenderedPageBreak/>
        <w:t>留试验地点。</w:t>
      </w:r>
    </w:p>
    <w:p w:rsidR="00886779" w:rsidRDefault="00886779" w:rsidP="00886779">
      <w:pPr>
        <w:snapToGrid w:val="0"/>
        <w:spacing w:line="640" w:lineRule="exact"/>
        <w:ind w:firstLineChars="200" w:firstLine="643"/>
        <w:rPr>
          <w:rFonts w:ascii="仿宋" w:eastAsia="仿宋" w:hAnsi="仿宋" w:hint="eastAsia"/>
          <w:sz w:val="32"/>
          <w:szCs w:val="32"/>
        </w:rPr>
      </w:pPr>
      <w:r>
        <w:rPr>
          <w:rFonts w:ascii="楷体" w:eastAsia="楷体" w:hAnsi="楷体" w:hint="eastAsia"/>
          <w:b/>
          <w:sz w:val="32"/>
          <w:szCs w:val="32"/>
        </w:rPr>
        <w:t>（四）试验要求。</w:t>
      </w:r>
      <w:r>
        <w:rPr>
          <w:rFonts w:ascii="仿宋" w:eastAsia="仿宋" w:hAnsi="仿宋" w:hint="eastAsia"/>
          <w:sz w:val="32"/>
          <w:szCs w:val="32"/>
        </w:rPr>
        <w:t>植物代谢试验、动物代谢试验、主要代谢物毒性试验可组织开展联合试验。申请人在申请登记时，应提交有关协议及参加联合试验的农药企业名单。</w:t>
      </w:r>
    </w:p>
    <w:p w:rsidR="00886779" w:rsidRDefault="00886779" w:rsidP="00886779">
      <w:pPr>
        <w:snapToGrid w:val="0"/>
        <w:spacing w:line="640" w:lineRule="exact"/>
        <w:ind w:firstLineChars="200" w:firstLine="640"/>
        <w:rPr>
          <w:rFonts w:ascii="仿宋" w:eastAsia="仿宋" w:hAnsi="仿宋" w:hint="eastAsia"/>
          <w:sz w:val="32"/>
          <w:szCs w:val="32"/>
        </w:rPr>
      </w:pPr>
      <w:r>
        <w:rPr>
          <w:rFonts w:ascii="仿宋" w:eastAsia="仿宋" w:hAnsi="仿宋" w:hint="eastAsia"/>
          <w:sz w:val="32"/>
          <w:szCs w:val="32"/>
        </w:rPr>
        <w:t>联合试验应由提供被试物的农药生产企业或向中国出口农药的企业进行登记试验备案。</w:t>
      </w:r>
    </w:p>
    <w:p w:rsidR="00886779" w:rsidRDefault="00886779" w:rsidP="00886779">
      <w:pPr>
        <w:snapToGrid w:val="0"/>
        <w:spacing w:line="640" w:lineRule="exact"/>
        <w:ind w:firstLineChars="200" w:firstLine="643"/>
        <w:rPr>
          <w:rFonts w:ascii="仿宋" w:eastAsia="仿宋" w:hAnsi="仿宋" w:hint="eastAsia"/>
          <w:sz w:val="32"/>
          <w:szCs w:val="32"/>
        </w:rPr>
      </w:pPr>
      <w:r>
        <w:rPr>
          <w:rFonts w:ascii="楷体" w:eastAsia="楷体" w:hAnsi="楷体" w:hint="eastAsia"/>
          <w:b/>
          <w:sz w:val="32"/>
          <w:szCs w:val="32"/>
        </w:rPr>
        <w:t>（五）登记资料使用。</w:t>
      </w:r>
      <w:r>
        <w:rPr>
          <w:rFonts w:ascii="仿宋" w:eastAsia="仿宋" w:hAnsi="仿宋" w:hint="eastAsia"/>
          <w:sz w:val="32"/>
          <w:szCs w:val="32"/>
        </w:rPr>
        <w:t>对申请人首次在含有新转化体的转基因作物上登记的目标除草剂产品提交的植物代谢试验、动物代谢试验、主要代谢物毒性试验资料，自登记之日起3年内，其他申请人申请在含有该转化体的转基因作物上登记目标除草剂时应提交相应的试验资料。超过3年的，在作出书面说明的情况下，可以不再提供上述试验资料。</w:t>
      </w:r>
    </w:p>
    <w:p w:rsidR="00886779" w:rsidRDefault="00886779" w:rsidP="00886779">
      <w:pPr>
        <w:snapToGrid w:val="0"/>
        <w:spacing w:line="640" w:lineRule="exact"/>
        <w:ind w:firstLineChars="200" w:firstLine="640"/>
        <w:rPr>
          <w:rFonts w:ascii="仿宋" w:eastAsia="仿宋" w:hAnsi="仿宋" w:hint="eastAsia"/>
          <w:sz w:val="32"/>
          <w:szCs w:val="32"/>
        </w:rPr>
      </w:pPr>
      <w:r>
        <w:rPr>
          <w:rFonts w:ascii="仿宋" w:eastAsia="仿宋" w:hAnsi="仿宋" w:hint="eastAsia"/>
          <w:sz w:val="32"/>
          <w:szCs w:val="32"/>
        </w:rPr>
        <w:t>自登记之日起3年内，已登记目标除草剂产品独立拥有的植物代谢试验、动物代谢试验、主要代谢物毒性试验资料可授权其他申请人，用于含有相同有效成分（包括不同盐、不同含量或不同剂型）、相同转化体相同作物（包括相同作物不同品种）的产品登记，且应能够反映申请登记产品的代谢途径。</w:t>
      </w:r>
    </w:p>
    <w:p w:rsidR="00886779" w:rsidRDefault="00886779" w:rsidP="00886779">
      <w:pPr>
        <w:snapToGrid w:val="0"/>
        <w:spacing w:line="640" w:lineRule="exact"/>
        <w:ind w:firstLineChars="200" w:firstLine="640"/>
        <w:rPr>
          <w:rFonts w:ascii="仿宋" w:eastAsia="仿宋" w:hAnsi="仿宋" w:hint="eastAsia"/>
          <w:sz w:val="32"/>
          <w:szCs w:val="32"/>
        </w:rPr>
      </w:pPr>
      <w:r>
        <w:rPr>
          <w:rFonts w:ascii="仿宋" w:eastAsia="仿宋" w:hAnsi="仿宋" w:hint="eastAsia"/>
          <w:sz w:val="32"/>
          <w:szCs w:val="32"/>
        </w:rPr>
        <w:t>主要代谢物毒性试验资料可授权其他申请人用于相同代谢物的产品登记，需有证据证明两者主要代谢物相同。</w:t>
      </w:r>
    </w:p>
    <w:p w:rsidR="00886779" w:rsidRDefault="00886779" w:rsidP="00886779">
      <w:pPr>
        <w:snapToGrid w:val="0"/>
        <w:spacing w:line="640" w:lineRule="exact"/>
        <w:ind w:firstLineChars="200" w:firstLine="643"/>
        <w:rPr>
          <w:rFonts w:ascii="仿宋" w:eastAsia="仿宋" w:hAnsi="仿宋" w:hint="eastAsia"/>
          <w:sz w:val="32"/>
          <w:szCs w:val="32"/>
        </w:rPr>
      </w:pPr>
      <w:r>
        <w:rPr>
          <w:rFonts w:ascii="楷体" w:eastAsia="楷体" w:hAnsi="楷体" w:hint="eastAsia"/>
          <w:b/>
          <w:sz w:val="32"/>
          <w:szCs w:val="32"/>
        </w:rPr>
        <w:t>（六）标签管理。</w:t>
      </w:r>
      <w:r>
        <w:rPr>
          <w:rFonts w:ascii="仿宋" w:eastAsia="仿宋" w:hAnsi="仿宋" w:hint="eastAsia"/>
          <w:sz w:val="32"/>
          <w:szCs w:val="32"/>
        </w:rPr>
        <w:t>在标注内容方面，明确标注</w:t>
      </w:r>
      <w:r>
        <w:rPr>
          <w:rFonts w:ascii="仿宋" w:eastAsia="仿宋" w:hAnsi="仿宋" w:hint="eastAsia"/>
          <w:b/>
          <w:bCs/>
          <w:sz w:val="32"/>
          <w:szCs w:val="32"/>
        </w:rPr>
        <w:t>“可用于</w:t>
      </w:r>
      <w:r>
        <w:rPr>
          <w:rFonts w:ascii="仿宋" w:eastAsia="仿宋" w:hAnsi="仿宋" w:hint="eastAsia"/>
          <w:b/>
          <w:bCs/>
          <w:sz w:val="32"/>
          <w:szCs w:val="32"/>
        </w:rPr>
        <w:lastRenderedPageBreak/>
        <w:t>含××转化体（××（基因名称））耐××（目标除草剂）的××（作物）田除草”</w:t>
      </w:r>
      <w:r>
        <w:rPr>
          <w:rFonts w:ascii="仿宋" w:eastAsia="仿宋" w:hAnsi="仿宋" w:hint="eastAsia"/>
          <w:sz w:val="32"/>
          <w:szCs w:val="32"/>
        </w:rPr>
        <w:t>。在安全防护方面，明确标注隔离措施。在使用技术要求方面，明确在含转化体作物田的使用技术要求和注意事项，避免误用或其他潜在风险。</w:t>
      </w:r>
    </w:p>
    <w:p w:rsidR="00886779" w:rsidRDefault="00886779" w:rsidP="00886779">
      <w:pPr>
        <w:spacing w:line="600" w:lineRule="exact"/>
        <w:ind w:firstLineChars="200" w:firstLine="640"/>
        <w:rPr>
          <w:rFonts w:ascii="仿宋_GB2312" w:eastAsia="仿宋_GB2312" w:hAnsi="仿宋_GB2312" w:cs="仿宋_GB2312" w:hint="eastAsia"/>
          <w:sz w:val="32"/>
          <w:szCs w:val="32"/>
        </w:rPr>
      </w:pPr>
    </w:p>
    <w:p w:rsidR="003E1061" w:rsidRDefault="003E1061"/>
    <w:sectPr w:rsidR="003E10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061" w:rsidRDefault="003E1061" w:rsidP="00886779">
      <w:r>
        <w:separator/>
      </w:r>
    </w:p>
  </w:endnote>
  <w:endnote w:type="continuationSeparator" w:id="1">
    <w:p w:rsidR="003E1061" w:rsidRDefault="003E1061" w:rsidP="008867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061" w:rsidRDefault="003E1061" w:rsidP="00886779">
      <w:r>
        <w:separator/>
      </w:r>
    </w:p>
  </w:footnote>
  <w:footnote w:type="continuationSeparator" w:id="1">
    <w:p w:rsidR="003E1061" w:rsidRDefault="003E1061" w:rsidP="008867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6779"/>
    <w:rsid w:val="003E1061"/>
    <w:rsid w:val="008867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77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67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86779"/>
    <w:rPr>
      <w:sz w:val="18"/>
      <w:szCs w:val="18"/>
    </w:rPr>
  </w:style>
  <w:style w:type="paragraph" w:styleId="a4">
    <w:name w:val="footer"/>
    <w:basedOn w:val="a"/>
    <w:link w:val="Char0"/>
    <w:uiPriority w:val="99"/>
    <w:semiHidden/>
    <w:unhideWhenUsed/>
    <w:rsid w:val="008867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86779"/>
    <w:rPr>
      <w:sz w:val="18"/>
      <w:szCs w:val="18"/>
    </w:rPr>
  </w:style>
</w:styles>
</file>

<file path=word/webSettings.xml><?xml version="1.0" encoding="utf-8"?>
<w:webSettings xmlns:r="http://schemas.openxmlformats.org/officeDocument/2006/relationships" xmlns:w="http://schemas.openxmlformats.org/wordprocessingml/2006/main">
  <w:divs>
    <w:div w:id="195705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2022-03-25T11:10:00Z</dcterms:created>
  <dcterms:modified xsi:type="dcterms:W3CDTF">2022-03-25T11:10:00Z</dcterms:modified>
</cp:coreProperties>
</file>